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2005 8 vom 14. Juni 2005</w:t>
      </w:r>
    </w:p>
    <w:p>
      <w:r>
        <w:t>GR Gerichte, 2005-06-14, DE</w:t>
      </w:r>
    </w:p>
    <w:p>
      <w:r>
        <w:rPr>
          <w:b/>
        </w:rPr>
        <w:t xml:space="preserve">Quelle: </w:t>
      </w:r>
      <w:r>
        <w:t>https://mcp.opencaselaw.ch/entscheid/gr_gerichte_U 2005 8</w:t>
      </w:r>
    </w:p>
    <w:p>
      <w:r>
        <w:t>FR: GR_GERICHTE U 2005 8 du 14 juin 2005</w:t>
      </w:r>
    </w:p>
    <w:p>
      <w:r>
        <w:t>IT: GR_GERICHTE U 2005 8 del 14 giugno 2005</w:t>
      </w:r>
    </w:p>
    <w:p>
      <w:pPr>
        <w:pStyle w:val="Heading2"/>
      </w:pPr>
      <w:r>
        <w:t>Regeste</w:t>
      </w:r>
    </w:p>
    <w:p>
      <w:r>
        <w:t>Pflegekosten | Sozialhilfe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Dagegen erhoben … am 2. Februar 2004 Rekurs an das Verwaltungsgericht mit dem Antrag, die angefochtene Verfügung aufzuheben und festzustellen, dass sie nur die Kosten für den effektiven Heimaufenthalt von 19 Tagen zu übernehmen hätten.</w:t>
      </w:r>
    </w:p>
    <w:p>
      <w:r>
        <w:rPr>
          <w:b/>
        </w:rPr>
        <w:t>E. 3</w:t>
      </w:r>
    </w:p>
    <w:p>
      <w:r>
        <w:t>Bei diesem Ausgang gehen die Verfahrenskosten zulasten der Gemeinde. Eine aussergerichtliche Entschädigung ist der Gegenpartei jedoch nicht zuzusprechen, da ihr Rechtsvertreter nichts zur Rechtsfindung beigetragen hat. Demnach erkennt das Gericht:</w:t>
      </w:r>
    </w:p>
    <w:p>
      <w:r>
        <w:t>1. Der Rekurs wird gutgeheissen und die angefochtene Verfügung aufgehoben. 2. Die Gerichtskosten, bestehend - aus einer Staatsgebühr von Fr. 600.-- - und den Kanzleiauslagen von Fr. 68.-- Zusammen Fr. 668.-- gehen zulasten der Gemeinde …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